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105" w:beforeAutospacing="0" w:after="105" w:afterAutospacing="0" w:line="270" w:lineRule="atLeast"/>
        <w:jc w:val="center"/>
        <w:rPr>
          <w:rFonts w:hint="eastAsia"/>
          <w:sz w:val="28"/>
        </w:rPr>
      </w:pPr>
      <w:r>
        <w:drawing>
          <wp:inline distT="0" distB="0" distL="114300" distR="114300">
            <wp:extent cx="5272405" cy="1020445"/>
            <wp:effectExtent l="0" t="0" r="444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drawing>
          <wp:inline distT="0" distB="0" distL="114300" distR="114300">
            <wp:extent cx="5258435" cy="1102360"/>
            <wp:effectExtent l="0" t="0" r="184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="105" w:beforeAutospacing="0" w:after="105" w:afterAutospacing="0" w:line="270" w:lineRule="atLeast"/>
        <w:jc w:val="center"/>
        <w:rPr>
          <w:rFonts w:ascii="宋体" w:hAnsi="宋体" w:cs="Arial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教通[20</w:t>
      </w:r>
      <w:r>
        <w:rPr>
          <w:rFonts w:hint="eastAsia" w:ascii="宋体" w:hAnsi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]</w:t>
      </w:r>
      <w:r>
        <w:rPr>
          <w:rFonts w:hint="eastAsia" w:ascii="宋体" w:hAnsi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号</w:t>
      </w:r>
      <w:r>
        <w:rPr>
          <w:rFonts w:hint="eastAsia"/>
        </w:rPr>
        <w:drawing>
          <wp:inline distT="0" distB="0" distL="114300" distR="114300">
            <wp:extent cx="5264150" cy="56515"/>
            <wp:effectExtent l="0" t="0" r="1270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00" w:lineRule="exact"/>
        <w:jc w:val="center"/>
        <w:outlineLvl w:val="3"/>
        <w:rPr>
          <w:rFonts w:ascii="宋体" w:hAnsi="宋体" w:cs="Arial"/>
          <w:b/>
          <w:bCs/>
          <w:color w:val="333333"/>
          <w:kern w:val="0"/>
          <w:sz w:val="44"/>
          <w:szCs w:val="44"/>
        </w:rPr>
      </w:pPr>
      <w:r>
        <w:rPr>
          <w:rFonts w:ascii="宋体" w:hAnsi="宋体" w:cs="Arial"/>
          <w:b/>
          <w:bCs/>
          <w:color w:val="333333"/>
          <w:kern w:val="0"/>
          <w:sz w:val="44"/>
          <w:szCs w:val="44"/>
        </w:rPr>
        <w:t>关于开展本科生学业预警的通知</w:t>
      </w:r>
    </w:p>
    <w:p>
      <w:pPr>
        <w:widowControl/>
        <w:spacing w:line="500" w:lineRule="exact"/>
        <w:ind w:firstLine="480"/>
        <w:jc w:val="left"/>
        <w:rPr>
          <w:rFonts w:hint="eastAsia" w:ascii="Arial" w:hAnsi="Arial" w:cs="Arial"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各学院：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color w:val="auto"/>
          <w:kern w:val="0"/>
          <w:sz w:val="18"/>
          <w:szCs w:val="1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根据《</w:t>
      </w:r>
      <w:r>
        <w:rPr>
          <w:rFonts w:hint="eastAsia" w:ascii="Arial" w:hAnsi="Arial" w:cs="Arial"/>
          <w:color w:val="auto"/>
          <w:kern w:val="0"/>
          <w:sz w:val="28"/>
          <w:szCs w:val="28"/>
        </w:rPr>
        <w:t>吉首大学本科生学业预警管理办法</w:t>
      </w:r>
      <w:r>
        <w:rPr>
          <w:rFonts w:ascii="Arial" w:hAnsi="Arial" w:cs="Arial"/>
          <w:color w:val="auto"/>
          <w:kern w:val="0"/>
          <w:sz w:val="28"/>
          <w:szCs w:val="28"/>
        </w:rPr>
        <w:t>》中的相关规定，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学院应开展学生的学</w:t>
      </w:r>
      <w:r>
        <w:rPr>
          <w:rFonts w:ascii="Arial" w:hAnsi="Arial" w:cs="Arial"/>
          <w:color w:val="auto"/>
          <w:kern w:val="0"/>
          <w:sz w:val="28"/>
          <w:szCs w:val="28"/>
        </w:rPr>
        <w:t>业预警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工作</w:t>
      </w:r>
      <w:r>
        <w:rPr>
          <w:rFonts w:ascii="Arial" w:hAnsi="Arial" w:cs="Arial"/>
          <w:color w:val="auto"/>
          <w:kern w:val="0"/>
          <w:sz w:val="28"/>
          <w:szCs w:val="28"/>
        </w:rPr>
        <w:t>，学分统计截止学期为20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ascii="Arial" w:hAnsi="Arial" w:cs="Arial"/>
          <w:color w:val="auto"/>
          <w:kern w:val="0"/>
          <w:sz w:val="28"/>
          <w:szCs w:val="28"/>
        </w:rPr>
        <w:t>-20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ascii="Arial" w:hAnsi="Arial" w:cs="Arial"/>
          <w:color w:val="auto"/>
          <w:kern w:val="0"/>
          <w:sz w:val="28"/>
          <w:szCs w:val="28"/>
        </w:rPr>
        <w:t>学年第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ascii="Arial" w:hAnsi="Arial" w:cs="Arial"/>
          <w:color w:val="auto"/>
          <w:kern w:val="0"/>
          <w:sz w:val="28"/>
          <w:szCs w:val="28"/>
        </w:rPr>
        <w:t>学期。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现</w:t>
      </w:r>
      <w:r>
        <w:rPr>
          <w:rFonts w:hint="eastAsia" w:ascii="Arial" w:hAnsi="Arial" w:cs="Arial"/>
          <w:color w:val="auto"/>
          <w:kern w:val="0"/>
          <w:sz w:val="28"/>
          <w:szCs w:val="28"/>
        </w:rPr>
        <w:t>将相关事宜通知如下：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b/>
          <w:bCs/>
          <w:color w:val="auto"/>
          <w:kern w:val="0"/>
          <w:sz w:val="28"/>
          <w:szCs w:val="28"/>
          <w:lang w:val="en"/>
        </w:rPr>
      </w:pPr>
      <w:r>
        <w:rPr>
          <w:rFonts w:hint="eastAsia" w:ascii="Arial" w:hAnsi="Arial" w:cs="Arial"/>
          <w:b/>
          <w:bCs/>
          <w:color w:val="auto"/>
          <w:kern w:val="0"/>
          <w:sz w:val="28"/>
          <w:szCs w:val="28"/>
          <w:lang w:val="en"/>
        </w:rPr>
        <w:t>一、学业预警对象类别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201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级（五年制）、201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级、201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级、20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级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 w:eastAsia="zh-CN"/>
        </w:rPr>
        <w:t>、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2021级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本科学生，属于下列类别之一者，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应进行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学业预警：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1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 w:eastAsia="zh-CN"/>
        </w:rPr>
        <w:t>、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在读期间一个学期结束后，未获得规定修读学分的40%者。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color w:val="auto"/>
          <w:kern w:val="0"/>
          <w:sz w:val="28"/>
          <w:szCs w:val="28"/>
          <w:lang w:val="en" w:eastAsia="zh-C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2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 w:eastAsia="zh-CN"/>
        </w:rPr>
        <w:t>、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在读期间一个学年结束后，未获得规定修读学分的60%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 w:eastAsia="zh-CN"/>
        </w:rPr>
        <w:t>者。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 w:eastAsia="zh-CN"/>
        </w:rPr>
        <w:t>、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编入下一年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级学习一年后仍未能取得规定修读学分数的60%</w:t>
      </w:r>
    </w:p>
    <w:p>
      <w:pPr>
        <w:widowControl/>
        <w:spacing w:line="500" w:lineRule="exact"/>
        <w:jc w:val="left"/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者。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4、毕业论文（设计）开始时，学生不及格课程累计达到</w:t>
      </w:r>
      <w:r>
        <w:rPr>
          <w:rFonts w:hint="eastAsia" w:ascii="Arial" w:hAnsi="Arial" w:cs="Arial"/>
          <w:color w:val="auto"/>
          <w:kern w:val="0"/>
          <w:sz w:val="28"/>
          <w:szCs w:val="28"/>
        </w:rPr>
        <w:t>15学分及以上者。</w:t>
      </w:r>
    </w:p>
    <w:p>
      <w:pPr>
        <w:widowControl/>
        <w:spacing w:line="500" w:lineRule="exact"/>
        <w:ind w:firstLine="560"/>
        <w:jc w:val="left"/>
        <w:rPr>
          <w:rFonts w:hint="eastAsia" w:ascii="Arial" w:hAnsi="Arial" w:cs="Arial"/>
          <w:b/>
          <w:bCs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bCs/>
          <w:color w:val="auto"/>
          <w:kern w:val="0"/>
          <w:sz w:val="28"/>
          <w:szCs w:val="28"/>
          <w:lang w:val="en"/>
        </w:rPr>
        <w:t>二、学业</w:t>
      </w:r>
      <w:r>
        <w:rPr>
          <w:rFonts w:hint="eastAsia" w:ascii="Arial" w:hAnsi="Arial" w:cs="Arial"/>
          <w:b/>
          <w:bCs/>
          <w:color w:val="auto"/>
          <w:kern w:val="0"/>
          <w:sz w:val="28"/>
          <w:szCs w:val="28"/>
        </w:rPr>
        <w:t>预警办法</w:t>
      </w:r>
    </w:p>
    <w:p>
      <w:pPr>
        <w:widowControl/>
        <w:spacing w:line="500" w:lineRule="exact"/>
        <w:jc w:val="left"/>
        <w:rPr>
          <w:rFonts w:hint="default" w:ascii="Arial" w:hAnsi="Arial" w:eastAsia="宋体" w:cs="Arial"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1、针对属于以上第1个类别</w:t>
      </w:r>
      <w:r>
        <w:rPr>
          <w:rFonts w:hint="eastAsia" w:ascii="Arial" w:hAnsi="Arial" w:cs="Arial"/>
          <w:color w:val="auto"/>
          <w:kern w:val="0"/>
          <w:sz w:val="28"/>
          <w:szCs w:val="28"/>
        </w:rPr>
        <w:t>者，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>学生继续跟班学习。由学院审核签发</w:t>
      </w:r>
      <w:bookmarkStart w:id="0" w:name="_GoBack"/>
      <w:bookmarkEnd w:id="0"/>
      <w:r>
        <w:rPr>
          <w:rFonts w:hint="eastAsia" w:ascii="Arial" w:hAnsi="Arial" w:cs="Arial"/>
          <w:color w:val="auto"/>
          <w:kern w:val="0"/>
          <w:sz w:val="28"/>
          <w:szCs w:val="28"/>
          <w:lang w:val="en"/>
        </w:rPr>
        <w:t xml:space="preserve">“学业警示通知书”，通知学生及家长，并报教务处备案。 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drawing>
          <wp:inline distT="0" distB="0" distL="114300" distR="114300">
            <wp:extent cx="5403850" cy="8953500"/>
            <wp:effectExtent l="0" t="0" r="6350" b="0"/>
            <wp:docPr id="6" name="图片 6" descr="张剑波_0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张剑波_000003"/>
                    <pic:cNvPicPr>
                      <a:picLocks noChangeAspect="1"/>
                    </pic:cNvPicPr>
                  </pic:nvPicPr>
                  <pic:blipFill>
                    <a:blip r:embed="rId7"/>
                    <a:srcRect l="10305" t="5932" r="257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附件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1-1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：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  <w:t>吉首大学本科生学业预警通知单（存根）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学年学期：    —    学年度第   学期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93"/>
        <w:gridCol w:w="1420"/>
        <w:gridCol w:w="1507"/>
        <w:gridCol w:w="1639"/>
        <w:gridCol w:w="20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学号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学院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年级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班级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exact"/>
          <w:jc w:val="center"/>
        </w:trPr>
        <w:tc>
          <w:tcPr>
            <w:tcW w:w="144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学业具</w:t>
            </w: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体情况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上学期</w:t>
            </w:r>
          </w:p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应修学分</w:t>
            </w: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上学期</w:t>
            </w:r>
          </w:p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获得学分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□跟班学习</w:t>
            </w:r>
          </w:p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48"/>
              </w:rPr>
              <w:t>编入下一年级学习</w:t>
            </w:r>
          </w:p>
          <w:p>
            <w:pPr>
              <w:widowControl/>
              <w:spacing w:before="100" w:beforeAutospacing="1" w:after="100" w:afterAutospacing="1" w:line="560" w:lineRule="exac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□退学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4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上年度</w:t>
            </w:r>
          </w:p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应修学分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上年度</w:t>
            </w:r>
          </w:p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获得学分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4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累计未获得学分数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是否曾经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zCs w:val="24"/>
                <w:lang w:val="en"/>
              </w:rPr>
              <w:t>编入下一年级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247"/>
              </w:tabs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学生电话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8"/>
              </w:rPr>
              <w:t>学生宿舍房   号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父亲姓名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8"/>
              </w:rPr>
              <w:t>父亲联系电   话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母亲姓名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6"/>
                <w:szCs w:val="28"/>
              </w:rPr>
              <w:t>母亲联系电   话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学生确认收到学业预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警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通知单</w:t>
            </w:r>
          </w:p>
        </w:tc>
        <w:tc>
          <w:tcPr>
            <w:tcW w:w="80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560" w:lineRule="exact"/>
              <w:ind w:firstLine="4560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60" w:lineRule="exact"/>
              <w:ind w:firstLine="4560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学生签名：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附件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1</w:t>
      </w:r>
      <w:r>
        <w:rPr>
          <w:rFonts w:hint="eastAsia" w:ascii="Arial" w:hAnsi="Arial" w:cs="Arial"/>
          <w:color w:val="auto"/>
          <w:kern w:val="0"/>
          <w:sz w:val="28"/>
          <w:szCs w:val="28"/>
        </w:rPr>
        <w:t>－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：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  <w:t>吉首大学本科生学业预警通知单（致家长）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学年学期：       —      学年度第   学期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811"/>
        <w:gridCol w:w="1030"/>
        <w:gridCol w:w="1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学院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年级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班级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8" w:hRule="atLeast"/>
          <w:jc w:val="center"/>
        </w:trPr>
        <w:tc>
          <w:tcPr>
            <w:tcW w:w="8928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尊敬的家长：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您的孩子目前在学业上出现了困难，具体情况为：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截止学期应修学分为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学分，您的孩子修了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学分，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学分必修课程不及格，如果必修课程不及时重修及格，他（她）将不能按时毕业。如果必修课程不及格累计达到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学分，或在校期间平均每学年所修课程学分未达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学分，将作退学处理。</w:t>
            </w:r>
          </w:p>
          <w:p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按照《吉首大学本科生学业预警管理实施办法（试行）》，现给予学业预警。我们通过《学生学业预警通知单》向您告知，希望您在了解情况后及时与子女联系，配合学校，共同教育，督促孩子重修课程，弥补差距，迎头赶上。衷心感谢您的理解与支持！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                                   学院（盖章）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</w:pP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</w:pPr>
    </w:p>
    <w:p>
      <w:pPr>
        <w:widowControl/>
        <w:snapToGrid w:val="0"/>
        <w:spacing w:before="100" w:beforeAutospacing="1" w:after="100" w:afterAutospacing="1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附件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1-3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  <w:t>吉首大学本科生学业预警通知单（家长回执）</w:t>
      </w:r>
    </w:p>
    <w:p>
      <w:pPr>
        <w:widowControl/>
        <w:snapToGrid w:val="0"/>
        <w:spacing w:before="100" w:beforeAutospacing="1" w:after="100" w:afterAutospacing="1"/>
        <w:jc w:val="left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学年学期：       —       学年度第    学期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568"/>
        <w:gridCol w:w="1069"/>
        <w:gridCol w:w="1811"/>
        <w:gridCol w:w="1030"/>
        <w:gridCol w:w="1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学号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学院</w:t>
            </w:r>
          </w:p>
        </w:tc>
        <w:tc>
          <w:tcPr>
            <w:tcW w:w="1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年级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班级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6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家长意见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1.学生目前情况家长已经了解。</w:t>
            </w:r>
          </w:p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2.学院的联系方式家长已经清楚。</w:t>
            </w:r>
          </w:p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3.家长的想法、建议和要求请另附纸。</w:t>
            </w:r>
          </w:p>
          <w:p>
            <w:pPr>
              <w:widowControl/>
              <w:spacing w:before="100" w:beforeAutospacing="1" w:after="100" w:afterAutospacing="1"/>
              <w:ind w:left="98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家长签名：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7" w:hRule="atLeast"/>
          <w:jc w:val="center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学业预警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通知单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收到时间</w:t>
            </w:r>
          </w:p>
        </w:tc>
        <w:tc>
          <w:tcPr>
            <w:tcW w:w="73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  年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br w:type="page"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附件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：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  <w:t>吉首大学本科生学业预警学生谈话记录表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学院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学业预警原因：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谈话记录：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谈话人签名：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学生签名：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br w:type="page"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附件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"/>
        </w:rPr>
        <w:t>：</w:t>
      </w:r>
    </w:p>
    <w:p>
      <w:pPr>
        <w:widowControl/>
        <w:snapToGrid w:val="0"/>
        <w:spacing w:before="100" w:beforeAutospacing="1" w:after="100" w:afterAutospacing="1"/>
        <w:ind w:firstLine="480"/>
        <w:jc w:val="center"/>
        <w:rPr>
          <w:rFonts w:ascii="宋体" w:hAnsi="宋体" w:cs="宋体"/>
          <w:color w:val="auto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"/>
        </w:rPr>
        <w:t>吉首大学本科生学业预警家长谈话记录表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学院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与学生关系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谈话地点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学业预警原因：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谈话记录：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谈话人签名：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学生家长签名：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家长意见：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家长联系方式：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学生家长签名：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学院意见：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负责人签名：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   学院盖章：</w:t>
            </w:r>
          </w:p>
        </w:tc>
      </w:tr>
    </w:tbl>
    <w:p/>
    <w:p/>
    <w:sectPr>
      <w:pgSz w:w="11906" w:h="16838"/>
      <w:pgMar w:top="1383" w:right="1486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D4905"/>
    <w:rsid w:val="0B9D1EE6"/>
    <w:rsid w:val="23B16CE7"/>
    <w:rsid w:val="2CAF463A"/>
    <w:rsid w:val="4F2D3825"/>
    <w:rsid w:val="54111D14"/>
    <w:rsid w:val="705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1087</Words>
  <Characters>1131</Characters>
  <Lines>0</Lines>
  <Paragraphs>0</Paragraphs>
  <TotalTime>114</TotalTime>
  <ScaleCrop>false</ScaleCrop>
  <LinksUpToDate>false</LinksUpToDate>
  <CharactersWithSpaces>1470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2022-03-08T00:34:00Z</dcterms:created>
  <dc:creator>Administrator</dc:creator>
  <cp:lastModifiedBy>扁扁的面条^ω^</cp:lastModifiedBy>
  <cp:lastPrinted>2022-03-28T06:59:00Z</cp:lastPrinted>
  <dcterms:modified xsi:type="dcterms:W3CDTF">2022-03-28T08:41:59Z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DEB0B4C7F5C8460D8B7B2A5F93D77910</vt:lpwstr>
  </property>
</Properties>
</file>